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Unterrichtseinheit: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>Zeit:</w:t>
      </w:r>
      <w:r>
        <w:rPr>
          <w:sz w:val="36"/>
          <w:szCs w:val="36"/>
        </w:rPr>
        <w:t xml:space="preserve"> 3...4  h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>Lernziel:</w:t>
      </w:r>
      <w:r>
        <w:rPr>
          <w:sz w:val="36"/>
          <w:szCs w:val="36"/>
        </w:rPr>
        <w:t xml:space="preserve">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Wie man den Polarstern findet.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Material und Bezugsquellen: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Sperrholz(Pappel) 4mm. Abstandshalter mit Gewinde M3 oder M4. Zylinderkopfschrauben, Senkkopfschrauben; 10mm lang.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Farbkopie der Vorlage. Papierkleber. Reißzwecken. Blankdraht 0,6 mm verzinnt. 14 Leuchtdioden: 3mm oder 5mm, weiß oder gelb. 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Zwei Stabbatterien AA A oder AA. Event. Batteriehalter. Kleiner Schiebeschalter.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Kosten: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Je nach Ausführung. In DINA4 etwa 5 EUR/Stck.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Durchführung: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Bei mir hat jedes Kind ein eigenes Leuchtbrett gebaut.</w:t>
      </w:r>
    </w:p>
    <w:p>
      <w:pPr>
        <w:pStyle w:val="Normal"/>
        <w:rPr/>
      </w:pPr>
      <w:r>
        <w:rPr>
          <w:b w:val="false"/>
          <w:bCs w:val="false"/>
          <w:sz w:val="36"/>
          <w:szCs w:val="36"/>
        </w:rPr>
        <w:t xml:space="preserve">Die Anleitung kann man hier finden: </w:t>
      </w:r>
      <w:hyperlink r:id="rId2">
        <w:r>
          <w:rPr>
            <w:rStyle w:val="Internetverknpfung"/>
            <w:b w:val="false"/>
            <w:bCs w:val="false"/>
            <w:sz w:val="36"/>
            <w:szCs w:val="36"/>
          </w:rPr>
          <w:t>http://www.quietscheradio.de/polaris.pdf</w:t>
        </w:r>
      </w:hyperlink>
      <w:r>
        <w:rPr>
          <w:b w:val="false"/>
          <w:bCs w:val="false"/>
          <w:sz w:val="36"/>
          <w:szCs w:val="36"/>
        </w:rPr>
        <w:t xml:space="preserve">   und hier: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/>
      </w:pPr>
      <w:hyperlink r:id="rId3">
        <w:r>
          <w:rPr>
            <w:rStyle w:val="Internetverknpfung"/>
            <w:b w:val="false"/>
            <w:bCs w:val="false"/>
            <w:sz w:val="36"/>
            <w:szCs w:val="36"/>
          </w:rPr>
          <w:t>http://www.quietscheradio.de/polaris-bauen.pdf</w:t>
        </w:r>
      </w:hyperlink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Das Objekt eignet sich aber auch als Gemeinschaftsprojekt in einer größeren Ausführung. Der Umgang mit der Laubsäge sollte geübt sein. Eine große Farbkopie muss event. </w:t>
      </w:r>
      <w:r>
        <w:rPr>
          <w:b w:val="false"/>
          <w:bCs w:val="false"/>
          <w:sz w:val="36"/>
          <w:szCs w:val="36"/>
        </w:rPr>
        <w:t>z</w:t>
      </w:r>
      <w:r>
        <w:rPr>
          <w:b w:val="false"/>
          <w:bCs w:val="false"/>
          <w:sz w:val="36"/>
          <w:szCs w:val="36"/>
        </w:rPr>
        <w:t xml:space="preserve">unächst als Grafik  mit hoher Auflösung selbst erstellt werden. 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74030" cy="803021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Das Bild nach der passenden Beschriftung(Jahreszeit) an die Wand hängen. </w:t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88155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 w:val="false"/>
          <w:bCs w:val="false"/>
          <w:sz w:val="36"/>
          <w:szCs w:val="36"/>
        </w:rPr>
        <w:t>Bernd Grupe; 16. Februar 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quietscheradio.de/polaris.pdf" TargetMode="External"/><Relationship Id="rId3" Type="http://schemas.openxmlformats.org/officeDocument/2006/relationships/hyperlink" Target="http://www.quietscheradio.de/polaris-bauen.pdf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LibreOffice/5.3.7.2$Windows_X86_64 LibreOffice_project/6b8ed514a9f8b44d37a1b96673cbbdd077e24059</Application>
  <Pages>3</Pages>
  <Words>130</Words>
  <Characters>886</Characters>
  <CharactersWithSpaces>1010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2018-02-16T14:23:07Z</dcterms:created>
  <dc:creator/>
  <dc:description/>
  <dc:language>de-DE</dc:language>
  <cp:lastModifiedBy/>
  <dcterms:modified xsi:type="dcterms:W3CDTF">2018-02-20T07:51:35Z</dcterms:modified>
  <cp:revision>4</cp:revision>
  <dc:subject/>
  <dc:title/>
</cp:coreProperties>
</file>